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D2DEA" w:rsidRDefault="002D2DE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D2DEA" w:rsidRDefault="002D2DE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D2DEA" w:rsidRDefault="002D2DE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D2DEA" w:rsidRDefault="002D2DE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D2DEA" w:rsidRDefault="002D2DE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D2DEA" w:rsidRDefault="002D2DE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A2638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A26389" w:rsidRDefault="009A60C3" w:rsidP="000D5F7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A26389" w:rsidRDefault="00B25FFF" w:rsidP="000D5F73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«</w:t>
      </w:r>
      <w:r w:rsidR="004C4923">
        <w:rPr>
          <w:rFonts w:eastAsia="Calibri"/>
          <w:b/>
          <w:sz w:val="26"/>
          <w:szCs w:val="26"/>
        </w:rPr>
        <w:t>0</w:t>
      </w:r>
      <w:r w:rsidR="00BD6AEE">
        <w:rPr>
          <w:rFonts w:eastAsia="Calibri"/>
          <w:b/>
          <w:sz w:val="26"/>
          <w:szCs w:val="26"/>
        </w:rPr>
        <w:t>9</w:t>
      </w:r>
      <w:r w:rsidR="004C4923">
        <w:rPr>
          <w:rFonts w:eastAsia="Calibri"/>
          <w:b/>
          <w:sz w:val="26"/>
          <w:szCs w:val="26"/>
        </w:rPr>
        <w:t>» августа</w:t>
      </w:r>
      <w:r w:rsidRPr="00A26389">
        <w:rPr>
          <w:rFonts w:eastAsia="Calibri"/>
          <w:b/>
          <w:sz w:val="26"/>
          <w:szCs w:val="26"/>
        </w:rPr>
        <w:t xml:space="preserve"> 2023 г.     </w:t>
      </w:r>
      <w:r w:rsidR="009A60C3" w:rsidRPr="00A26389">
        <w:rPr>
          <w:rFonts w:eastAsia="Calibri"/>
          <w:b/>
          <w:sz w:val="26"/>
          <w:szCs w:val="26"/>
        </w:rPr>
        <w:tab/>
        <w:t xml:space="preserve">             </w:t>
      </w:r>
      <w:r w:rsidR="00906BBC" w:rsidRPr="00A26389">
        <w:rPr>
          <w:rFonts w:eastAsia="Calibri"/>
          <w:b/>
          <w:sz w:val="26"/>
          <w:szCs w:val="26"/>
        </w:rPr>
        <w:t xml:space="preserve">    </w:t>
      </w:r>
      <w:r w:rsidR="009A60C3" w:rsidRPr="00A26389">
        <w:rPr>
          <w:rFonts w:eastAsia="Calibri"/>
          <w:b/>
          <w:sz w:val="26"/>
          <w:szCs w:val="26"/>
        </w:rPr>
        <w:t xml:space="preserve">                                                                       </w:t>
      </w:r>
      <w:r w:rsidR="00057D9A" w:rsidRPr="00A26389">
        <w:rPr>
          <w:rFonts w:eastAsia="Calibri"/>
          <w:b/>
          <w:sz w:val="26"/>
          <w:szCs w:val="26"/>
        </w:rPr>
        <w:t xml:space="preserve">    </w:t>
      </w:r>
      <w:r w:rsidR="009A60C3" w:rsidRPr="00A26389">
        <w:rPr>
          <w:rFonts w:eastAsia="Calibri"/>
          <w:b/>
          <w:sz w:val="26"/>
          <w:szCs w:val="26"/>
        </w:rPr>
        <w:t xml:space="preserve">№ </w:t>
      </w:r>
      <w:r w:rsidR="00CF1A1F">
        <w:rPr>
          <w:rFonts w:eastAsia="Calibri"/>
          <w:b/>
          <w:sz w:val="26"/>
          <w:szCs w:val="26"/>
        </w:rPr>
        <w:t>373</w:t>
      </w:r>
      <w:r w:rsidR="009A60C3" w:rsidRPr="00A26389">
        <w:rPr>
          <w:rFonts w:eastAsia="Calibri"/>
          <w:b/>
          <w:sz w:val="26"/>
          <w:szCs w:val="26"/>
        </w:rPr>
        <w:t>/23</w:t>
      </w:r>
    </w:p>
    <w:p w:rsidR="009A60C3" w:rsidRPr="00A26389" w:rsidRDefault="009A60C3" w:rsidP="000D5F73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A26389" w:rsidRDefault="009A60C3" w:rsidP="00CA6701">
      <w:pPr>
        <w:tabs>
          <w:tab w:val="left" w:pos="5103"/>
        </w:tabs>
        <w:spacing w:line="288" w:lineRule="auto"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Реквизиты заявления:</w:t>
      </w:r>
      <w:r w:rsidRPr="00A26389">
        <w:rPr>
          <w:rFonts w:eastAsia="Calibri"/>
          <w:sz w:val="26"/>
          <w:szCs w:val="26"/>
        </w:rPr>
        <w:t xml:space="preserve"> </w:t>
      </w:r>
      <w:r w:rsidRPr="00A26389">
        <w:rPr>
          <w:rFonts w:eastAsia="Calibri"/>
          <w:sz w:val="26"/>
          <w:szCs w:val="26"/>
        </w:rPr>
        <w:tab/>
      </w:r>
      <w:r w:rsidR="000C3E03" w:rsidRPr="005E3B27">
        <w:rPr>
          <w:rFonts w:eastAsia="Calibri"/>
          <w:sz w:val="26"/>
          <w:szCs w:val="26"/>
        </w:rPr>
        <w:t xml:space="preserve">    </w:t>
      </w:r>
      <w:r w:rsidRPr="00A26389">
        <w:rPr>
          <w:rFonts w:eastAsia="Calibri"/>
          <w:sz w:val="26"/>
          <w:szCs w:val="26"/>
        </w:rPr>
        <w:t xml:space="preserve">от </w:t>
      </w:r>
      <w:r w:rsidR="004C4923" w:rsidRPr="004C4923">
        <w:rPr>
          <w:rFonts w:eastAsia="Calibri"/>
          <w:sz w:val="26"/>
          <w:szCs w:val="26"/>
        </w:rPr>
        <w:t>18.07.2023</w:t>
      </w:r>
      <w:r w:rsidR="004C4923">
        <w:rPr>
          <w:rFonts w:eastAsia="Calibri"/>
          <w:sz w:val="26"/>
          <w:szCs w:val="26"/>
        </w:rPr>
        <w:t xml:space="preserve"> </w:t>
      </w:r>
      <w:r w:rsidRPr="00A26389">
        <w:rPr>
          <w:rFonts w:eastAsia="Calibri"/>
          <w:sz w:val="26"/>
          <w:szCs w:val="26"/>
        </w:rPr>
        <w:t xml:space="preserve">№ </w:t>
      </w:r>
      <w:r w:rsidR="004C4923" w:rsidRPr="004C4923">
        <w:rPr>
          <w:rFonts w:eastAsia="Calibri"/>
          <w:sz w:val="26"/>
          <w:szCs w:val="26"/>
        </w:rPr>
        <w:t>01-8264/23О</w:t>
      </w:r>
      <w:r w:rsidR="004C4923" w:rsidRPr="004C4923">
        <w:rPr>
          <w:rFonts w:eastAsia="Calibri"/>
          <w:sz w:val="26"/>
          <w:szCs w:val="26"/>
        </w:rPr>
        <w:tab/>
      </w:r>
    </w:p>
    <w:p w:rsidR="009A60C3" w:rsidRPr="00A26389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A26389" w:rsidRDefault="009A60C3" w:rsidP="00CA6701">
      <w:pPr>
        <w:tabs>
          <w:tab w:val="left" w:pos="6237"/>
        </w:tabs>
        <w:spacing w:line="288" w:lineRule="auto"/>
        <w:ind w:left="5103" w:right="-144" w:hanging="5103"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Информация о заявителе:</w:t>
      </w:r>
      <w:r w:rsidRPr="00A26389">
        <w:rPr>
          <w:rFonts w:eastAsia="Calibri"/>
          <w:sz w:val="26"/>
          <w:szCs w:val="26"/>
        </w:rPr>
        <w:t xml:space="preserve"> </w:t>
      </w:r>
      <w:r w:rsidRPr="00A26389">
        <w:rPr>
          <w:rFonts w:eastAsia="Calibri"/>
          <w:sz w:val="26"/>
          <w:szCs w:val="26"/>
        </w:rPr>
        <w:tab/>
      </w:r>
      <w:r w:rsidR="000C3E03" w:rsidRPr="000C3E03">
        <w:rPr>
          <w:rFonts w:eastAsia="Calibri"/>
          <w:sz w:val="26"/>
          <w:szCs w:val="26"/>
        </w:rPr>
        <w:t xml:space="preserve">    </w:t>
      </w:r>
      <w:r w:rsidR="002D2DEA">
        <w:rPr>
          <w:rFonts w:eastAsia="Calibri"/>
          <w:sz w:val="26"/>
          <w:szCs w:val="26"/>
        </w:rPr>
        <w:t>***</w:t>
      </w:r>
    </w:p>
    <w:p w:rsidR="009A60C3" w:rsidRPr="00A26389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A26389" w:rsidRDefault="009A60C3" w:rsidP="00CA6701">
      <w:pPr>
        <w:tabs>
          <w:tab w:val="left" w:pos="5103"/>
          <w:tab w:val="left" w:pos="5387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A26389">
        <w:rPr>
          <w:rFonts w:eastAsia="Calibri"/>
          <w:b/>
          <w:sz w:val="26"/>
          <w:szCs w:val="26"/>
        </w:rPr>
        <w:tab/>
      </w:r>
      <w:r w:rsidR="004C4923" w:rsidRPr="004C4923">
        <w:rPr>
          <w:rFonts w:eastAsia="Calibri"/>
          <w:sz w:val="26"/>
          <w:szCs w:val="26"/>
        </w:rPr>
        <w:t>77:04:0002001:1004</w:t>
      </w:r>
    </w:p>
    <w:p w:rsidR="00CA6701" w:rsidRPr="00A26389" w:rsidRDefault="009A60C3" w:rsidP="004C4923">
      <w:pPr>
        <w:tabs>
          <w:tab w:val="left" w:pos="5103"/>
        </w:tabs>
        <w:spacing w:line="288" w:lineRule="auto"/>
        <w:ind w:left="5387" w:hanging="5387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Адрес:</w:t>
      </w:r>
      <w:r w:rsidRPr="00A26389">
        <w:rPr>
          <w:rFonts w:eastAsia="Calibri"/>
          <w:sz w:val="26"/>
          <w:szCs w:val="26"/>
        </w:rPr>
        <w:tab/>
      </w:r>
      <w:r w:rsidR="000C3E03" w:rsidRPr="000C3E03">
        <w:rPr>
          <w:rFonts w:eastAsia="Calibri"/>
          <w:sz w:val="26"/>
          <w:szCs w:val="26"/>
        </w:rPr>
        <w:t xml:space="preserve">     </w:t>
      </w:r>
      <w:r w:rsidRPr="00A26389">
        <w:rPr>
          <w:rFonts w:eastAsia="Calibri"/>
          <w:sz w:val="26"/>
          <w:szCs w:val="26"/>
        </w:rPr>
        <w:t xml:space="preserve">г. Москва, </w:t>
      </w:r>
      <w:r w:rsidR="004C4923" w:rsidRPr="004C4923">
        <w:rPr>
          <w:rFonts w:eastAsia="Calibri"/>
          <w:sz w:val="26"/>
          <w:szCs w:val="26"/>
        </w:rPr>
        <w:t>ш</w:t>
      </w:r>
      <w:r w:rsidR="004C4923">
        <w:rPr>
          <w:rFonts w:eastAsia="Calibri"/>
          <w:sz w:val="26"/>
          <w:szCs w:val="26"/>
        </w:rPr>
        <w:t xml:space="preserve">. Фрезер, з/у. </w:t>
      </w:r>
      <w:r w:rsidR="004C4923" w:rsidRPr="004C4923">
        <w:rPr>
          <w:rFonts w:eastAsia="Calibri"/>
          <w:sz w:val="26"/>
          <w:szCs w:val="26"/>
        </w:rPr>
        <w:t>15Г/2</w:t>
      </w:r>
    </w:p>
    <w:p w:rsidR="004C4923" w:rsidRDefault="004C492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9A60C3" w:rsidRPr="00A26389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A26389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26389">
        <w:rPr>
          <w:rFonts w:eastAsia="Calibri"/>
          <w:sz w:val="26"/>
          <w:szCs w:val="26"/>
        </w:rPr>
        <w:t>Кадастровая стоимость земельн</w:t>
      </w:r>
      <w:r w:rsidR="00BA4DC7" w:rsidRPr="00A26389">
        <w:rPr>
          <w:rFonts w:eastAsia="Calibri"/>
          <w:sz w:val="26"/>
          <w:szCs w:val="26"/>
        </w:rPr>
        <w:t>ого</w:t>
      </w:r>
      <w:r w:rsidRPr="00A26389">
        <w:rPr>
          <w:rFonts w:eastAsia="Calibri"/>
          <w:sz w:val="26"/>
          <w:szCs w:val="26"/>
        </w:rPr>
        <w:t xml:space="preserve"> участк</w:t>
      </w:r>
      <w:r w:rsidR="00BA4DC7" w:rsidRPr="00A26389">
        <w:rPr>
          <w:rFonts w:eastAsia="Calibri"/>
          <w:sz w:val="26"/>
          <w:szCs w:val="26"/>
        </w:rPr>
        <w:t>а</w:t>
      </w:r>
      <w:r w:rsidRPr="00A26389">
        <w:rPr>
          <w:rFonts w:eastAsia="Calibri"/>
          <w:sz w:val="26"/>
          <w:szCs w:val="26"/>
        </w:rPr>
        <w:t xml:space="preserve"> с кадастровым номер</w:t>
      </w:r>
      <w:r w:rsidR="00BA4DC7" w:rsidRPr="00A26389">
        <w:rPr>
          <w:rFonts w:eastAsia="Calibri"/>
          <w:sz w:val="26"/>
          <w:szCs w:val="26"/>
        </w:rPr>
        <w:t>ом</w:t>
      </w:r>
      <w:r w:rsidRPr="00A26389">
        <w:rPr>
          <w:rFonts w:eastAsia="Calibri"/>
          <w:sz w:val="26"/>
          <w:szCs w:val="26"/>
        </w:rPr>
        <w:t xml:space="preserve"> </w:t>
      </w:r>
      <w:r w:rsidR="004C4923" w:rsidRPr="004C4923">
        <w:rPr>
          <w:rFonts w:eastAsia="Calibri"/>
          <w:sz w:val="26"/>
          <w:szCs w:val="26"/>
        </w:rPr>
        <w:t xml:space="preserve">77:04:0002001:1004 </w:t>
      </w:r>
      <w:r w:rsidR="00FE3765" w:rsidRPr="00A26389">
        <w:rPr>
          <w:rFonts w:eastAsia="Calibri"/>
          <w:sz w:val="26"/>
          <w:szCs w:val="26"/>
        </w:rPr>
        <w:t>(далее – Земельны</w:t>
      </w:r>
      <w:r w:rsidR="00BA4DC7" w:rsidRPr="00A26389">
        <w:rPr>
          <w:rFonts w:eastAsia="Calibri"/>
          <w:sz w:val="26"/>
          <w:szCs w:val="26"/>
        </w:rPr>
        <w:t>й</w:t>
      </w:r>
      <w:r w:rsidR="00FE3765" w:rsidRPr="00A26389">
        <w:rPr>
          <w:rFonts w:eastAsia="Calibri"/>
          <w:sz w:val="26"/>
          <w:szCs w:val="26"/>
        </w:rPr>
        <w:t xml:space="preserve"> участ</w:t>
      </w:r>
      <w:r w:rsidR="00BA4DC7" w:rsidRPr="00A26389">
        <w:rPr>
          <w:rFonts w:eastAsia="Calibri"/>
          <w:sz w:val="26"/>
          <w:szCs w:val="26"/>
        </w:rPr>
        <w:t>ок</w:t>
      </w:r>
      <w:r w:rsidR="00FE3765" w:rsidRPr="00A26389">
        <w:rPr>
          <w:rFonts w:eastAsia="Calibri"/>
          <w:sz w:val="26"/>
          <w:szCs w:val="26"/>
        </w:rPr>
        <w:t>)</w:t>
      </w:r>
      <w:r w:rsidRPr="00A26389">
        <w:rPr>
          <w:rFonts w:eastAsia="Calibri"/>
          <w:sz w:val="26"/>
          <w:szCs w:val="26"/>
        </w:rPr>
        <w:t xml:space="preserve"> на</w:t>
      </w:r>
      <w:r w:rsidR="00A26389">
        <w:rPr>
          <w:rFonts w:eastAsia="Calibri"/>
          <w:sz w:val="26"/>
          <w:szCs w:val="26"/>
        </w:rPr>
        <w:t xml:space="preserve"> основании сведений, включенных</w:t>
      </w:r>
      <w:r w:rsidR="00A26389">
        <w:rPr>
          <w:rFonts w:eastAsia="Calibri"/>
          <w:sz w:val="26"/>
          <w:szCs w:val="26"/>
        </w:rPr>
        <w:br/>
      </w:r>
      <w:r w:rsidRPr="00A26389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A26389">
        <w:rPr>
          <w:rFonts w:eastAsia="Calibri"/>
          <w:sz w:val="26"/>
          <w:szCs w:val="26"/>
        </w:rPr>
        <w:t xml:space="preserve">ударственной </w:t>
      </w:r>
      <w:r w:rsidR="00A26389">
        <w:rPr>
          <w:rFonts w:eastAsia="Calibri"/>
          <w:sz w:val="26"/>
          <w:szCs w:val="26"/>
        </w:rPr>
        <w:t>кадастровой оценке</w:t>
      </w:r>
      <w:r w:rsidR="00A26389">
        <w:rPr>
          <w:rFonts w:eastAsia="Calibri"/>
          <w:sz w:val="26"/>
          <w:szCs w:val="26"/>
        </w:rPr>
        <w:br/>
      </w:r>
      <w:r w:rsidR="00FE3765" w:rsidRPr="00A26389">
        <w:rPr>
          <w:rFonts w:eastAsia="Calibri"/>
          <w:sz w:val="26"/>
          <w:szCs w:val="26"/>
        </w:rPr>
        <w:t xml:space="preserve">по состоянию </w:t>
      </w:r>
      <w:r w:rsidRPr="00A26389">
        <w:rPr>
          <w:rFonts w:eastAsia="Calibri"/>
          <w:sz w:val="26"/>
          <w:szCs w:val="26"/>
        </w:rPr>
        <w:t>на 01.01.202</w:t>
      </w:r>
      <w:r w:rsidR="00916EE0" w:rsidRPr="00A26389">
        <w:rPr>
          <w:rFonts w:eastAsia="Calibri"/>
          <w:sz w:val="26"/>
          <w:szCs w:val="26"/>
        </w:rPr>
        <w:t>2</w:t>
      </w:r>
      <w:r w:rsidRPr="00A26389">
        <w:rPr>
          <w:rFonts w:eastAsia="Calibri"/>
          <w:sz w:val="26"/>
          <w:szCs w:val="26"/>
        </w:rPr>
        <w:t xml:space="preserve">, определена </w:t>
      </w:r>
      <w:r w:rsidR="0021463F" w:rsidRPr="00A26389">
        <w:rPr>
          <w:rFonts w:eastAsia="Calibri"/>
          <w:sz w:val="26"/>
          <w:szCs w:val="26"/>
        </w:rPr>
        <w:t xml:space="preserve">с учетом </w:t>
      </w:r>
      <w:r w:rsidR="00BA4DC7" w:rsidRPr="00A26389">
        <w:rPr>
          <w:rFonts w:eastAsia="Calibri"/>
          <w:sz w:val="26"/>
          <w:szCs w:val="26"/>
        </w:rPr>
        <w:t>его</w:t>
      </w:r>
      <w:r w:rsidR="00FE3765" w:rsidRPr="00A26389">
        <w:rPr>
          <w:rFonts w:eastAsia="Calibri"/>
          <w:sz w:val="26"/>
          <w:szCs w:val="26"/>
        </w:rPr>
        <w:t xml:space="preserve"> отнесения к группе</w:t>
      </w:r>
      <w:r w:rsidR="0021463F" w:rsidRPr="00A26389">
        <w:rPr>
          <w:rFonts w:eastAsia="Calibri"/>
          <w:sz w:val="26"/>
          <w:szCs w:val="26"/>
        </w:rPr>
        <w:t xml:space="preserve"> </w:t>
      </w:r>
      <w:r w:rsidR="004C4923">
        <w:rPr>
          <w:rFonts w:eastAsia="Calibri"/>
          <w:sz w:val="26"/>
          <w:szCs w:val="26"/>
        </w:rPr>
        <w:t>6</w:t>
      </w:r>
      <w:r w:rsidRPr="00A26389">
        <w:rPr>
          <w:rFonts w:eastAsia="Calibri"/>
          <w:sz w:val="26"/>
          <w:szCs w:val="26"/>
        </w:rPr>
        <w:t xml:space="preserve"> </w:t>
      </w:r>
      <w:r w:rsidR="004C4923">
        <w:rPr>
          <w:rFonts w:eastAsia="Calibri"/>
          <w:sz w:val="26"/>
          <w:szCs w:val="26"/>
        </w:rPr>
        <w:t>«</w:t>
      </w:r>
      <w:r w:rsidR="004C4923" w:rsidRPr="004C4923">
        <w:rPr>
          <w:rFonts w:eastAsia="Calibri"/>
          <w:sz w:val="26"/>
          <w:szCs w:val="26"/>
        </w:rPr>
        <w:t>Земельные участки, предназначенные для размещения ад</w:t>
      </w:r>
      <w:r w:rsidR="004C4923">
        <w:rPr>
          <w:rFonts w:eastAsia="Calibri"/>
          <w:sz w:val="26"/>
          <w:szCs w:val="26"/>
        </w:rPr>
        <w:t>министративных и офисных зданий», подгруппе 6.1 «</w:t>
      </w:r>
      <w:r w:rsidR="004C4923" w:rsidRPr="004C4923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</w:t>
      </w:r>
      <w:r w:rsidR="004C4923">
        <w:rPr>
          <w:rFonts w:eastAsia="Calibri"/>
          <w:sz w:val="26"/>
          <w:szCs w:val="26"/>
        </w:rPr>
        <w:t>ых зданий (основная территория)»</w:t>
      </w:r>
      <w:r w:rsidR="004C4923" w:rsidRPr="004C4923">
        <w:rPr>
          <w:rFonts w:eastAsia="Calibri"/>
          <w:sz w:val="26"/>
          <w:szCs w:val="26"/>
        </w:rPr>
        <w:t>.</w:t>
      </w:r>
    </w:p>
    <w:p w:rsidR="00E47E1A" w:rsidRPr="0021463F" w:rsidRDefault="00CD0D70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 w:rsidRPr="00A26389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 w:rsidR="00FE3765" w:rsidRPr="00A26389">
        <w:rPr>
          <w:rFonts w:eastAsia="Calibri"/>
          <w:sz w:val="26"/>
          <w:szCs w:val="26"/>
        </w:rPr>
        <w:t>Земельн</w:t>
      </w:r>
      <w:r w:rsidR="00BA4DC7" w:rsidRPr="00A26389">
        <w:rPr>
          <w:rFonts w:eastAsia="Calibri"/>
          <w:sz w:val="26"/>
          <w:szCs w:val="26"/>
        </w:rPr>
        <w:t>ого</w:t>
      </w:r>
      <w:r w:rsidR="00FE3765" w:rsidRPr="00A26389">
        <w:rPr>
          <w:rFonts w:eastAsia="Calibri"/>
          <w:sz w:val="26"/>
          <w:szCs w:val="26"/>
        </w:rPr>
        <w:t xml:space="preserve"> участк</w:t>
      </w:r>
      <w:r w:rsidR="00BA4DC7" w:rsidRPr="00A26389">
        <w:rPr>
          <w:rFonts w:eastAsia="Calibri"/>
          <w:sz w:val="26"/>
          <w:szCs w:val="26"/>
        </w:rPr>
        <w:t>а</w:t>
      </w:r>
      <w:r w:rsidRPr="00A26389">
        <w:rPr>
          <w:rFonts w:eastAsia="Calibri"/>
          <w:sz w:val="26"/>
          <w:szCs w:val="26"/>
        </w:rPr>
        <w:t xml:space="preserve">. </w:t>
      </w:r>
      <w:r w:rsidR="00FE3765" w:rsidRPr="00A26389">
        <w:rPr>
          <w:rFonts w:eastAsia="Calibri"/>
          <w:sz w:val="26"/>
          <w:szCs w:val="26"/>
        </w:rPr>
        <w:t>На основании</w:t>
      </w:r>
      <w:r w:rsidR="00902CD2" w:rsidRPr="00A26389">
        <w:rPr>
          <w:rFonts w:eastAsia="Calibri"/>
          <w:sz w:val="26"/>
          <w:szCs w:val="26"/>
        </w:rPr>
        <w:t xml:space="preserve"> информации, </w:t>
      </w:r>
      <w:r w:rsidR="009B0F11" w:rsidRPr="00A26389">
        <w:rPr>
          <w:rFonts w:eastAsia="Calibri"/>
          <w:sz w:val="26"/>
          <w:szCs w:val="26"/>
        </w:rPr>
        <w:t>представленной Государственной инспекцией</w:t>
      </w:r>
      <w:r w:rsidR="00FE3765" w:rsidRPr="00A26389">
        <w:rPr>
          <w:rFonts w:eastAsia="Calibri"/>
          <w:sz w:val="26"/>
          <w:szCs w:val="26"/>
        </w:rPr>
        <w:t xml:space="preserve"> </w:t>
      </w:r>
      <w:r w:rsidR="009B0F11" w:rsidRPr="00A26389">
        <w:rPr>
          <w:rFonts w:eastAsia="Calibri"/>
          <w:sz w:val="26"/>
          <w:szCs w:val="26"/>
        </w:rPr>
        <w:t>по контролю за использованием объектов не</w:t>
      </w:r>
      <w:r w:rsidR="00A26389">
        <w:rPr>
          <w:rFonts w:eastAsia="Calibri"/>
          <w:sz w:val="26"/>
          <w:szCs w:val="26"/>
        </w:rPr>
        <w:t xml:space="preserve">движимости </w:t>
      </w:r>
      <w:r w:rsidR="00A26389" w:rsidRPr="00A26389">
        <w:rPr>
          <w:rFonts w:eastAsia="Calibri"/>
          <w:sz w:val="26"/>
          <w:szCs w:val="26"/>
        </w:rPr>
        <w:t>города Москвы</w:t>
      </w:r>
      <w:r w:rsidR="00664082" w:rsidRPr="00A26389">
        <w:rPr>
          <w:rFonts w:eastAsia="Calibri"/>
          <w:sz w:val="26"/>
          <w:szCs w:val="26"/>
        </w:rPr>
        <w:t>, кадастровая стоимость Земельн</w:t>
      </w:r>
      <w:r w:rsidR="00F24F6F" w:rsidRPr="00A26389">
        <w:rPr>
          <w:rFonts w:eastAsia="Calibri"/>
          <w:sz w:val="26"/>
          <w:szCs w:val="26"/>
        </w:rPr>
        <w:t>ого</w:t>
      </w:r>
      <w:r w:rsidR="00664082" w:rsidRPr="00A26389">
        <w:rPr>
          <w:rFonts w:eastAsia="Calibri"/>
          <w:sz w:val="26"/>
          <w:szCs w:val="26"/>
        </w:rPr>
        <w:t xml:space="preserve"> участк</w:t>
      </w:r>
      <w:r w:rsidR="00F24F6F" w:rsidRPr="00A26389">
        <w:rPr>
          <w:rFonts w:eastAsia="Calibri"/>
          <w:sz w:val="26"/>
          <w:szCs w:val="26"/>
        </w:rPr>
        <w:t>а</w:t>
      </w:r>
      <w:r w:rsidR="00664082" w:rsidRPr="00A26389">
        <w:rPr>
          <w:rFonts w:eastAsia="Calibri"/>
          <w:sz w:val="26"/>
          <w:szCs w:val="26"/>
        </w:rPr>
        <w:t xml:space="preserve"> </w:t>
      </w:r>
      <w:r w:rsidR="00E47E1A" w:rsidRPr="00A26389">
        <w:rPr>
          <w:rFonts w:eastAsia="Calibri"/>
          <w:sz w:val="26"/>
          <w:szCs w:val="26"/>
        </w:rPr>
        <w:t>пересчитана с</w:t>
      </w:r>
      <w:r w:rsidR="00A26389" w:rsidRPr="00A26389">
        <w:rPr>
          <w:rFonts w:eastAsia="Calibri"/>
          <w:sz w:val="26"/>
          <w:szCs w:val="26"/>
        </w:rPr>
        <w:t xml:space="preserve"> учетом фактической плотности застройки с</w:t>
      </w:r>
      <w:r w:rsidR="00E47E1A" w:rsidRPr="00A26389">
        <w:rPr>
          <w:rFonts w:eastAsia="Calibri"/>
          <w:sz w:val="26"/>
          <w:szCs w:val="26"/>
        </w:rPr>
        <w:t xml:space="preserve"> применением корректировки на плотность застройки в размере </w:t>
      </w:r>
      <w:r w:rsidR="004C4923" w:rsidRPr="00EB29C9">
        <w:rPr>
          <w:rFonts w:eastAsia="Calibri"/>
          <w:color w:val="000000" w:themeColor="text1"/>
          <w:sz w:val="26"/>
          <w:szCs w:val="26"/>
        </w:rPr>
        <w:t>0.8251</w:t>
      </w:r>
      <w:r w:rsidR="00E47E1A" w:rsidRPr="00EB29C9">
        <w:rPr>
          <w:rFonts w:eastAsia="Calibri"/>
          <w:color w:val="000000" w:themeColor="text1"/>
          <w:sz w:val="26"/>
          <w:szCs w:val="26"/>
        </w:rPr>
        <w:t>.</w:t>
      </w:r>
    </w:p>
    <w:p w:rsidR="003966E4" w:rsidRDefault="003966E4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</w:p>
    <w:p w:rsidR="00DD405A" w:rsidRDefault="00DD405A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DD405A" w:rsidRDefault="00DD405A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DD405A" w:rsidRDefault="00DD405A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DD405A" w:rsidRDefault="00DD405A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B25FF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3"/>
        <w:gridCol w:w="1754"/>
        <w:gridCol w:w="3063"/>
        <w:gridCol w:w="1591"/>
        <w:gridCol w:w="1562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F24F6F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A05E42"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664082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4C4923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4923">
              <w:rPr>
                <w:rFonts w:ascii="Times New Roman" w:hAnsi="Times New Roman"/>
                <w:sz w:val="22"/>
                <w:szCs w:val="22"/>
              </w:rPr>
              <w:t>77:04:0002001:1004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4C4923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374 099 650,</w:t>
            </w:r>
            <w:r w:rsidRPr="004C4923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EB29C9" w:rsidP="00AF267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308 669 582,</w:t>
            </w:r>
            <w:r w:rsidRPr="00EB29C9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563" w:type="dxa"/>
            <w:vAlign w:val="center"/>
          </w:tcPr>
          <w:p w:rsidR="00664082" w:rsidRPr="009A60C3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75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C3E03"/>
    <w:rsid w:val="000D5F73"/>
    <w:rsid w:val="000E3CE9"/>
    <w:rsid w:val="000F4294"/>
    <w:rsid w:val="00107701"/>
    <w:rsid w:val="00141094"/>
    <w:rsid w:val="001575F4"/>
    <w:rsid w:val="001919BA"/>
    <w:rsid w:val="001C2469"/>
    <w:rsid w:val="001C3F29"/>
    <w:rsid w:val="001E5C66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4708"/>
    <w:rsid w:val="002D2DEA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4068C5"/>
    <w:rsid w:val="00451A57"/>
    <w:rsid w:val="004646C5"/>
    <w:rsid w:val="0048188F"/>
    <w:rsid w:val="004B7671"/>
    <w:rsid w:val="004C4923"/>
    <w:rsid w:val="004C655A"/>
    <w:rsid w:val="004D267A"/>
    <w:rsid w:val="004E03F3"/>
    <w:rsid w:val="004E5771"/>
    <w:rsid w:val="00502391"/>
    <w:rsid w:val="00505439"/>
    <w:rsid w:val="005469F6"/>
    <w:rsid w:val="00557139"/>
    <w:rsid w:val="00562E12"/>
    <w:rsid w:val="005A7673"/>
    <w:rsid w:val="005B4668"/>
    <w:rsid w:val="005E3B27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62614"/>
    <w:rsid w:val="008670AF"/>
    <w:rsid w:val="0086795D"/>
    <w:rsid w:val="00881D2E"/>
    <w:rsid w:val="008A1E00"/>
    <w:rsid w:val="008A4886"/>
    <w:rsid w:val="008B2613"/>
    <w:rsid w:val="008C16DD"/>
    <w:rsid w:val="008C4DD1"/>
    <w:rsid w:val="008D3005"/>
    <w:rsid w:val="008D7519"/>
    <w:rsid w:val="00902CD2"/>
    <w:rsid w:val="00906BBC"/>
    <w:rsid w:val="00916EE0"/>
    <w:rsid w:val="00921BD4"/>
    <w:rsid w:val="0094147D"/>
    <w:rsid w:val="00945366"/>
    <w:rsid w:val="00946478"/>
    <w:rsid w:val="00960CF2"/>
    <w:rsid w:val="00985D91"/>
    <w:rsid w:val="009A60C3"/>
    <w:rsid w:val="009B0F11"/>
    <w:rsid w:val="009F7E0E"/>
    <w:rsid w:val="00A05E42"/>
    <w:rsid w:val="00A0619E"/>
    <w:rsid w:val="00A06E67"/>
    <w:rsid w:val="00A25EBF"/>
    <w:rsid w:val="00A26389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AF2677"/>
    <w:rsid w:val="00B04546"/>
    <w:rsid w:val="00B0596E"/>
    <w:rsid w:val="00B141E4"/>
    <w:rsid w:val="00B157B0"/>
    <w:rsid w:val="00B25FFF"/>
    <w:rsid w:val="00B478D2"/>
    <w:rsid w:val="00B751DE"/>
    <w:rsid w:val="00B77D11"/>
    <w:rsid w:val="00BA0ED3"/>
    <w:rsid w:val="00BA4DC7"/>
    <w:rsid w:val="00BB60D6"/>
    <w:rsid w:val="00BB76B9"/>
    <w:rsid w:val="00BD6AEE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CF1A1F"/>
    <w:rsid w:val="00D02A10"/>
    <w:rsid w:val="00D0326A"/>
    <w:rsid w:val="00D50FD4"/>
    <w:rsid w:val="00D634F5"/>
    <w:rsid w:val="00DB1B1E"/>
    <w:rsid w:val="00DD029D"/>
    <w:rsid w:val="00DD1C87"/>
    <w:rsid w:val="00DD405A"/>
    <w:rsid w:val="00E47E1A"/>
    <w:rsid w:val="00E55D7A"/>
    <w:rsid w:val="00E66306"/>
    <w:rsid w:val="00E81003"/>
    <w:rsid w:val="00E86B4E"/>
    <w:rsid w:val="00EB29C9"/>
    <w:rsid w:val="00EB6ADE"/>
    <w:rsid w:val="00EE3220"/>
    <w:rsid w:val="00EF36F3"/>
    <w:rsid w:val="00EF68E9"/>
    <w:rsid w:val="00F24F6F"/>
    <w:rsid w:val="00F25F43"/>
    <w:rsid w:val="00F329E0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293185"/>
    </o:shapedefaults>
    <o:shapelayout v:ext="edit">
      <o:idmap v:ext="edit" data="1"/>
    </o:shapelayout>
  </w:shapeDefaults>
  <w:decimalSymbol w:val="."/>
  <w:listSeparator w:val=";"/>
  <w14:docId w14:val="2386818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7EE9-C8B0-490B-BED5-4566D052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1648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1934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2023-08-08T13:33:00Z</dcterms:created>
  <dcterms:modified xsi:type="dcterms:W3CDTF">2023-08-09T12:29:00Z</dcterms:modified>
</cp:coreProperties>
</file>